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0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Минпромторг России проработал возможность отсрочки даты вступления в силу новых правил расчета утильсбора на легковые автомобили</w:t>
      </w:r>
      <w:r>
        <w:rPr>
          <w:rFonts w:ascii="Times New Roman" w:hAnsi="Times New Roman"/>
          <w:sz w:val="28"/>
        </w:rPr>
        <w:br/>
      </w:r>
    </w:p>
    <w:p w14:paraId="04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Информация&gt; Минпромторга России от 31.10.2025 "Срок вступления в силу новых правил расчета утильсбора на легковые автомобили будет перенесен на декабрь"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Сообщается, что ранее Минпромторгом России были подготовлены изменения в механику расчета утилизационного сбора, предполагающие введение дополнительных показателей для легковых автомобилей (категории М1).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Сформированный подход подразумевает, что базовая ставка для расчета утилизационного сбора формируется на основании типа и объема двигателя, а мощность двигателя влияет на формирование коэффициента по прогрессивной шкале. При этом предлагается сохранить действие меры поддержки в виде льготного коэффициента для граждан, которые ввозят иномарку с мощностью двигателя до 160 л.с. для личного пользования.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Принято решение о переносе предполагаемого вступления постановления в силу на один месяц - с 1 декабря 2025 года (вместо 1 ноября 2025 года). Проект постановления в соответствующей редакции внесен в Правительство РФ.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Подчеркивается, что изменения не отразятся на автолюбителях, которые оплатили утильсбор на иномарку по действующим параметрам до вступления в силу новой нормы. Сейчас при планировании новых заказов на зарубежные автомобили необходимо учитывать предлагаемые изменения в расчете утильсбора.</w:t>
      </w:r>
    </w:p>
    <w:p w14:paraId="09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2025-11-11T15:12:12Z</dcterms:modified>
</cp:coreProperties>
</file>